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B5C" w:rsidRDefault="00044B5C" w:rsidP="00636D07">
      <w:pPr>
        <w:pBdr>
          <w:top w:val="single" w:sz="4" w:space="1" w:color="auto"/>
          <w:left w:val="single" w:sz="4" w:space="4" w:color="auto"/>
          <w:bottom w:val="single" w:sz="4" w:space="1" w:color="auto"/>
          <w:right w:val="single" w:sz="4" w:space="31" w:color="auto"/>
        </w:pBdr>
        <w:snapToGrid w:val="0"/>
        <w:spacing w:after="0" w:line="240" w:lineRule="auto"/>
        <w:ind w:right="565"/>
        <w:jc w:val="center"/>
        <w:rPr>
          <w:rFonts w:ascii="Arial" w:hAnsi="Arial" w:cs="Arial"/>
          <w:b/>
          <w:smallCaps/>
          <w:sz w:val="24"/>
        </w:rPr>
      </w:pPr>
    </w:p>
    <w:p w:rsidR="00636D07" w:rsidRDefault="00636D07" w:rsidP="00636D07">
      <w:pPr>
        <w:pBdr>
          <w:top w:val="single" w:sz="4" w:space="1" w:color="auto"/>
          <w:left w:val="single" w:sz="4" w:space="4" w:color="auto"/>
          <w:bottom w:val="single" w:sz="4" w:space="1" w:color="auto"/>
          <w:right w:val="single" w:sz="4" w:space="31" w:color="auto"/>
        </w:pBdr>
        <w:snapToGrid w:val="0"/>
        <w:spacing w:after="0" w:line="240" w:lineRule="auto"/>
        <w:ind w:right="565"/>
        <w:jc w:val="center"/>
        <w:rPr>
          <w:rFonts w:ascii="Arial" w:hAnsi="Arial" w:cs="Arial"/>
          <w:b/>
          <w:smallCaps/>
          <w:sz w:val="24"/>
        </w:rPr>
      </w:pPr>
      <w:proofErr w:type="spellStart"/>
      <w:r>
        <w:rPr>
          <w:rFonts w:ascii="Arial" w:hAnsi="Arial" w:cs="Arial"/>
          <w:b/>
          <w:smallCaps/>
          <w:sz w:val="24"/>
        </w:rPr>
        <w:t>Pandemie</w:t>
      </w:r>
      <w:proofErr w:type="spellEnd"/>
      <w:r>
        <w:rPr>
          <w:rFonts w:ascii="Arial" w:hAnsi="Arial" w:cs="Arial"/>
          <w:b/>
          <w:smallCaps/>
          <w:sz w:val="24"/>
        </w:rPr>
        <w:t xml:space="preserve"> de </w:t>
      </w:r>
      <w:proofErr w:type="spellStart"/>
      <w:r>
        <w:rPr>
          <w:rFonts w:ascii="Arial" w:hAnsi="Arial" w:cs="Arial"/>
          <w:b/>
          <w:smallCaps/>
          <w:sz w:val="24"/>
        </w:rPr>
        <w:t>covid</w:t>
      </w:r>
      <w:proofErr w:type="spellEnd"/>
      <w:r>
        <w:rPr>
          <w:rFonts w:ascii="Arial" w:hAnsi="Arial" w:cs="Arial"/>
          <w:b/>
          <w:smallCaps/>
          <w:sz w:val="24"/>
        </w:rPr>
        <w:t xml:space="preserve"> 19 : </w:t>
      </w:r>
    </w:p>
    <w:p w:rsidR="00636D07" w:rsidRDefault="00636D07" w:rsidP="00636D07">
      <w:pPr>
        <w:pBdr>
          <w:top w:val="single" w:sz="4" w:space="1" w:color="auto"/>
          <w:left w:val="single" w:sz="4" w:space="4" w:color="auto"/>
          <w:bottom w:val="single" w:sz="4" w:space="1" w:color="auto"/>
          <w:right w:val="single" w:sz="4" w:space="31" w:color="auto"/>
        </w:pBdr>
        <w:snapToGrid w:val="0"/>
        <w:spacing w:after="0" w:line="240" w:lineRule="auto"/>
        <w:ind w:right="565"/>
        <w:jc w:val="center"/>
        <w:rPr>
          <w:rFonts w:ascii="Arial" w:hAnsi="Arial" w:cs="Arial"/>
          <w:b/>
          <w:smallCaps/>
          <w:sz w:val="24"/>
        </w:rPr>
      </w:pPr>
      <w:r>
        <w:rPr>
          <w:rFonts w:ascii="Arial" w:hAnsi="Arial" w:cs="Arial"/>
          <w:b/>
          <w:smallCaps/>
          <w:sz w:val="24"/>
        </w:rPr>
        <w:t xml:space="preserve">adaptations des modalités de calcul des prestations de service de la </w:t>
      </w:r>
      <w:proofErr w:type="spellStart"/>
      <w:r>
        <w:rPr>
          <w:rFonts w:ascii="Arial" w:hAnsi="Arial" w:cs="Arial"/>
          <w:b/>
          <w:smallCaps/>
          <w:sz w:val="24"/>
        </w:rPr>
        <w:t>cnaf</w:t>
      </w:r>
      <w:proofErr w:type="spellEnd"/>
      <w:r>
        <w:rPr>
          <w:rFonts w:ascii="Arial" w:hAnsi="Arial" w:cs="Arial"/>
          <w:b/>
          <w:smallCaps/>
          <w:sz w:val="24"/>
        </w:rPr>
        <w:t xml:space="preserve"> en raison  de la période de fermeture des </w:t>
      </w:r>
      <w:proofErr w:type="spellStart"/>
      <w:r>
        <w:rPr>
          <w:rFonts w:ascii="Arial" w:hAnsi="Arial" w:cs="Arial"/>
          <w:b/>
          <w:smallCaps/>
          <w:sz w:val="24"/>
        </w:rPr>
        <w:t>equipements</w:t>
      </w:r>
      <w:proofErr w:type="spellEnd"/>
      <w:r>
        <w:rPr>
          <w:rFonts w:ascii="Arial" w:hAnsi="Arial" w:cs="Arial"/>
          <w:b/>
          <w:smallCaps/>
          <w:sz w:val="24"/>
        </w:rPr>
        <w:t xml:space="preserve">  </w:t>
      </w:r>
    </w:p>
    <w:p w:rsidR="00044B5C" w:rsidRDefault="00044B5C" w:rsidP="00636D07">
      <w:pPr>
        <w:pBdr>
          <w:top w:val="single" w:sz="4" w:space="1" w:color="auto"/>
          <w:left w:val="single" w:sz="4" w:space="4" w:color="auto"/>
          <w:bottom w:val="single" w:sz="4" w:space="1" w:color="auto"/>
          <w:right w:val="single" w:sz="4" w:space="31" w:color="auto"/>
        </w:pBdr>
        <w:snapToGrid w:val="0"/>
        <w:spacing w:after="0" w:line="240" w:lineRule="auto"/>
        <w:ind w:right="565"/>
        <w:jc w:val="center"/>
        <w:rPr>
          <w:rFonts w:ascii="Arial" w:hAnsi="Arial" w:cs="Arial"/>
          <w:b/>
          <w:smallCaps/>
          <w:sz w:val="24"/>
        </w:rPr>
      </w:pPr>
    </w:p>
    <w:p w:rsidR="00636D07" w:rsidRDefault="00636D07" w:rsidP="00636D07">
      <w:pPr>
        <w:spacing w:after="0" w:line="240" w:lineRule="auto"/>
        <w:jc w:val="both"/>
        <w:rPr>
          <w:rFonts w:ascii="Arial" w:hAnsi="Arial" w:cs="Arial"/>
        </w:rPr>
      </w:pPr>
    </w:p>
    <w:p w:rsidR="00636D07" w:rsidRDefault="00636D07" w:rsidP="00636D07">
      <w:pPr>
        <w:spacing w:after="0" w:line="240" w:lineRule="auto"/>
        <w:jc w:val="both"/>
        <w:rPr>
          <w:rFonts w:ascii="Arial" w:hAnsi="Arial" w:cs="Arial"/>
        </w:rPr>
      </w:pPr>
    </w:p>
    <w:p w:rsidR="00636D07" w:rsidRDefault="00636D07" w:rsidP="003F0F07">
      <w:pPr>
        <w:spacing w:after="0" w:line="240" w:lineRule="auto"/>
        <w:jc w:val="both"/>
        <w:rPr>
          <w:rFonts w:ascii="Arial" w:hAnsi="Arial" w:cs="Arial"/>
        </w:rPr>
      </w:pPr>
      <w:r>
        <w:rPr>
          <w:rFonts w:ascii="Arial" w:hAnsi="Arial" w:cs="Arial"/>
        </w:rPr>
        <w:t>Pour éviter la propagation du Covid-19, une très large fermeture des commerces, crèches, écoles a été décidée par le gouvernement. Les mesures de confinement renforcées depuis le lundi 16 mars 2020 ont accentué la limitation des activités sociales et confirmé la fermeture au public de la quasi-totalité des équipements et services aux familles soutenus par la branche Famille (lieux d’accueil enfant-parents, service de médiation familiale, centres sociaux, etc.). Néanmoins, de nombreuses structures ont poursuivi leur activité dans des formats à distance, en mobilisant tout ou partie de leurs salariés et bénévoles.</w:t>
      </w:r>
    </w:p>
    <w:p w:rsidR="00636D07" w:rsidRDefault="00636D07" w:rsidP="003F0F07">
      <w:pPr>
        <w:spacing w:after="0" w:line="240" w:lineRule="auto"/>
        <w:jc w:val="both"/>
        <w:rPr>
          <w:rFonts w:ascii="Arial" w:hAnsi="Arial" w:cs="Arial"/>
        </w:rPr>
      </w:pPr>
    </w:p>
    <w:p w:rsidR="00636D07" w:rsidRDefault="00636D07" w:rsidP="003F0F07">
      <w:pPr>
        <w:spacing w:after="0" w:line="240" w:lineRule="auto"/>
        <w:jc w:val="both"/>
        <w:rPr>
          <w:rFonts w:ascii="Arial" w:hAnsi="Arial" w:cs="Arial"/>
        </w:rPr>
      </w:pPr>
      <w:r>
        <w:rPr>
          <w:rFonts w:ascii="Arial" w:hAnsi="Arial" w:cs="Arial"/>
        </w:rPr>
        <w:t xml:space="preserve">La majorité des financements accordés par les CAF dans le cadre des prestations de service </w:t>
      </w:r>
      <w:r w:rsidR="00680CB7">
        <w:rPr>
          <w:rFonts w:ascii="Arial" w:hAnsi="Arial" w:cs="Arial"/>
        </w:rPr>
        <w:t>(</w:t>
      </w:r>
      <w:r>
        <w:rPr>
          <w:rFonts w:ascii="Arial" w:hAnsi="Arial" w:cs="Arial"/>
        </w:rPr>
        <w:t xml:space="preserve">Ps) sont liées à l’activité effective réalisée par ces structures. Cette période de fermeture a donc un impact direct sur leur modèle économique et est susceptible de placer les gestionnaires, notamment associatifs, en difficulté financière.  </w:t>
      </w:r>
    </w:p>
    <w:p w:rsidR="00680CB7" w:rsidRDefault="00680CB7" w:rsidP="003F0F07">
      <w:pPr>
        <w:spacing w:after="0" w:line="240" w:lineRule="auto"/>
        <w:jc w:val="both"/>
        <w:rPr>
          <w:rFonts w:ascii="Arial" w:hAnsi="Arial" w:cs="Arial"/>
        </w:rPr>
      </w:pPr>
    </w:p>
    <w:p w:rsidR="00680CB7" w:rsidRPr="003E4F13" w:rsidRDefault="00680CB7" w:rsidP="003F0F07">
      <w:pPr>
        <w:spacing w:after="0" w:line="240" w:lineRule="auto"/>
        <w:jc w:val="both"/>
        <w:rPr>
          <w:rFonts w:ascii="Arial" w:hAnsi="Arial" w:cs="Arial"/>
        </w:rPr>
      </w:pPr>
      <w:r w:rsidRPr="003E4F13">
        <w:rPr>
          <w:rFonts w:ascii="Arial" w:hAnsi="Arial" w:cs="Arial"/>
        </w:rPr>
        <w:t>En réponse à cette situation, le CA de la CNAF</w:t>
      </w:r>
      <w:r w:rsidR="003E4F13" w:rsidRPr="003E4F13">
        <w:rPr>
          <w:rFonts w:ascii="Arial" w:hAnsi="Arial" w:cs="Arial"/>
        </w:rPr>
        <w:t>, en lien avec le ministère de la santé et des solidarités et le ministère de l’éducation nationale et de la jeunesse,</w:t>
      </w:r>
      <w:r w:rsidRPr="003E4F13">
        <w:rPr>
          <w:rFonts w:ascii="Arial" w:hAnsi="Arial" w:cs="Arial"/>
        </w:rPr>
        <w:t xml:space="preserve"> a pris le 7 avril plusieurs décisions afin de permettre la sécurisation des structures organisatrices de ces activités.</w:t>
      </w:r>
    </w:p>
    <w:p w:rsidR="00636D07" w:rsidRDefault="00636D07" w:rsidP="003F0F07">
      <w:pPr>
        <w:spacing w:after="0" w:line="240" w:lineRule="auto"/>
        <w:jc w:val="both"/>
        <w:rPr>
          <w:rFonts w:ascii="Arial" w:hAnsi="Arial" w:cs="Arial"/>
        </w:rPr>
      </w:pPr>
    </w:p>
    <w:p w:rsidR="00A56DB3" w:rsidRPr="00A56DB3" w:rsidRDefault="00A56DB3" w:rsidP="003F0F07">
      <w:pPr>
        <w:autoSpaceDE w:val="0"/>
        <w:autoSpaceDN w:val="0"/>
        <w:adjustRightInd w:val="0"/>
        <w:spacing w:after="0" w:line="240" w:lineRule="auto"/>
        <w:jc w:val="both"/>
        <w:rPr>
          <w:rFonts w:ascii="CIDFont+F4" w:eastAsiaTheme="minorHAnsi" w:hAnsi="CIDFont+F4" w:cs="CIDFont+F4"/>
          <w:b/>
        </w:rPr>
      </w:pPr>
      <w:r w:rsidRPr="00A56DB3">
        <w:rPr>
          <w:rFonts w:ascii="CIDFont+F4" w:eastAsiaTheme="minorHAnsi" w:hAnsi="CIDFont+F4" w:cs="CIDFont+F4"/>
          <w:b/>
        </w:rPr>
        <w:t>Un accompagnement financier visant à neutraliser l’impact de la période de fermeture des services</w:t>
      </w:r>
    </w:p>
    <w:p w:rsidR="00A56DB3" w:rsidRPr="00A56DB3" w:rsidRDefault="00A56DB3" w:rsidP="003F0F07">
      <w:pPr>
        <w:autoSpaceDE w:val="0"/>
        <w:autoSpaceDN w:val="0"/>
        <w:adjustRightInd w:val="0"/>
        <w:spacing w:after="0" w:line="240" w:lineRule="auto"/>
        <w:jc w:val="both"/>
        <w:rPr>
          <w:rFonts w:ascii="CIDFont+F4" w:eastAsiaTheme="minorHAnsi" w:hAnsi="CIDFont+F4" w:cs="CIDFont+F4"/>
        </w:rPr>
      </w:pPr>
    </w:p>
    <w:p w:rsidR="00636D07" w:rsidRDefault="00636D07" w:rsidP="003F0F07">
      <w:pPr>
        <w:spacing w:after="0" w:line="240" w:lineRule="auto"/>
        <w:jc w:val="both"/>
        <w:rPr>
          <w:rFonts w:ascii="Arial" w:hAnsi="Arial" w:cs="Arial"/>
        </w:rPr>
      </w:pPr>
      <w:r w:rsidRPr="00636D07">
        <w:rPr>
          <w:rFonts w:ascii="Arial" w:hAnsi="Arial" w:cs="Arial"/>
        </w:rPr>
        <w:t xml:space="preserve">Les services bénéficiant d’une prestation de service (hors </w:t>
      </w:r>
      <w:proofErr w:type="spellStart"/>
      <w:r w:rsidRPr="00636D07">
        <w:rPr>
          <w:rFonts w:ascii="Arial" w:hAnsi="Arial" w:cs="Arial"/>
        </w:rPr>
        <w:t>Eaje</w:t>
      </w:r>
      <w:proofErr w:type="spellEnd"/>
      <w:r w:rsidRPr="00636D07">
        <w:rPr>
          <w:rFonts w:ascii="Arial" w:hAnsi="Arial" w:cs="Arial"/>
        </w:rPr>
        <w:t>), fermés au public, sont invités à maintenir une offre auprès de leurs usagers, en adaptant leurs modalités de contact et l’organisation du travail et dans le respect du cadre défini par le décret n° 2020-293 du 23 mars 2020 (modifié) prescrivant les mesures générales nécessaires pour faire face à l'épidémie de covid-19 dans le cadre de l'état d'urgence sanitaire</w:t>
      </w:r>
      <w:r w:rsidR="00680CB7">
        <w:rPr>
          <w:rFonts w:ascii="Arial" w:hAnsi="Arial" w:cs="Arial"/>
        </w:rPr>
        <w:t xml:space="preserve">. </w:t>
      </w:r>
      <w:r w:rsidRPr="00636D07">
        <w:rPr>
          <w:rFonts w:ascii="Arial" w:hAnsi="Arial" w:cs="Arial"/>
        </w:rPr>
        <w:t>Il y est notamment indiqué que les activités collectives concernant les mineurs (accueils scolaires ou de loisirs) sont interrompues en présentiel, à l’exception de celles organisées pour les enfants de moins de 16 ans des personnels nécessaires à la gestion de la crise sanitaire.</w:t>
      </w:r>
    </w:p>
    <w:p w:rsidR="00A56DB3" w:rsidRPr="00636D07" w:rsidRDefault="00A56DB3" w:rsidP="003F0F07">
      <w:pPr>
        <w:spacing w:after="0" w:line="240" w:lineRule="auto"/>
        <w:jc w:val="both"/>
        <w:rPr>
          <w:rFonts w:ascii="Arial" w:hAnsi="Arial" w:cs="Arial"/>
        </w:rPr>
      </w:pPr>
    </w:p>
    <w:p w:rsidR="00636D07" w:rsidRPr="00A56DB3" w:rsidRDefault="00A56DB3" w:rsidP="003F0F07">
      <w:pPr>
        <w:autoSpaceDE w:val="0"/>
        <w:autoSpaceDN w:val="0"/>
        <w:adjustRightInd w:val="0"/>
        <w:spacing w:after="0" w:line="240" w:lineRule="auto"/>
        <w:jc w:val="both"/>
        <w:rPr>
          <w:rFonts w:ascii="CIDFont+F5" w:eastAsiaTheme="minorHAnsi" w:hAnsi="CIDFont+F5" w:cs="CIDFont+F5"/>
        </w:rPr>
      </w:pPr>
      <w:r>
        <w:rPr>
          <w:rFonts w:ascii="CIDFont+F5" w:eastAsiaTheme="minorHAnsi" w:hAnsi="CIDFont+F5" w:cs="CIDFont+F5"/>
        </w:rPr>
        <w:t>Dès lors qu’une activité est maintenue et que les gestionnaires n’ont pas placé leurs salariés en activité partielle, les prestations de service (Ps) de la Caf seront versées normalement, en adoptant un principe de neutralisation des périodes de fermeture au public. Ce principe consiste à faire « comme si » les structures étaient restées ouvertes dans les déclarations d’activité. Ainsi, selon l’unité retenue dans le calcul (heures d’ouverture, équivalent temps plein, heures d’accueil), les périodes de fermeture au public seront neutralisées (non prises en compte) dans le calcul des Ps.</w:t>
      </w:r>
    </w:p>
    <w:p w:rsidR="00636D07" w:rsidRDefault="00636D07" w:rsidP="003F0F07">
      <w:pPr>
        <w:spacing w:after="0" w:line="240" w:lineRule="auto"/>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rPr>
        <w:t xml:space="preserve">Afin d’atténuer l’impact financier de la fermeture des structures, il a été décidé de continuer à verser les financements au titre des prestations de service en neutralisant la période de fermeture dans la durée d’activité </w:t>
      </w:r>
      <w:r w:rsidR="00680CB7">
        <w:rPr>
          <w:rFonts w:ascii="Arial" w:hAnsi="Arial" w:cs="Arial"/>
        </w:rPr>
        <w:t>déclarée : il s’agi</w:t>
      </w:r>
      <w:r>
        <w:rPr>
          <w:rFonts w:ascii="Arial" w:hAnsi="Arial" w:cs="Arial"/>
        </w:rPr>
        <w:t xml:space="preserve">t de faire comme si la structure avait ouvert à l’identique qu’en 2019. </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rPr>
        <w:t xml:space="preserve">Néanmoins, lorsque le gestionnaire emploie des salariés de droit privé et qu’il les a placés en chômage partiel, le cumul entre le maintien de la prestation de service et l’aide au titre de l’activité partielle ne sera pas autorisé dans les cas où la prestation de service </w:t>
      </w:r>
      <w:r w:rsidR="00E432E2">
        <w:rPr>
          <w:rFonts w:ascii="Arial" w:hAnsi="Arial" w:cs="Arial"/>
        </w:rPr>
        <w:t>finance</w:t>
      </w:r>
      <w:r>
        <w:rPr>
          <w:rFonts w:ascii="Arial" w:hAnsi="Arial" w:cs="Arial"/>
        </w:rPr>
        <w:t xml:space="preserve"> de</w:t>
      </w:r>
      <w:r w:rsidR="00E432E2">
        <w:rPr>
          <w:rFonts w:ascii="Arial" w:hAnsi="Arial" w:cs="Arial"/>
        </w:rPr>
        <w:t xml:space="preserve"> manière importante l’activité.</w:t>
      </w:r>
      <w:r w:rsidR="00680CB7">
        <w:rPr>
          <w:rFonts w:ascii="Arial" w:hAnsi="Arial" w:cs="Arial"/>
        </w:rPr>
        <w:t xml:space="preserve"> Des modalités de gestions différentiées sont ainsi mises en place.</w:t>
      </w:r>
    </w:p>
    <w:p w:rsidR="00636D07" w:rsidRDefault="00636D07" w:rsidP="003F0F07">
      <w:pPr>
        <w:spacing w:after="0" w:line="240" w:lineRule="auto"/>
        <w:jc w:val="both"/>
        <w:rPr>
          <w:rFonts w:ascii="Arial" w:hAnsi="Arial" w:cs="Arial"/>
          <w:b/>
          <w:bCs/>
        </w:rPr>
      </w:pPr>
    </w:p>
    <w:p w:rsidR="00486DE5" w:rsidRDefault="00486DE5" w:rsidP="003F0F07">
      <w:pPr>
        <w:spacing w:after="0" w:line="240" w:lineRule="auto"/>
        <w:jc w:val="both"/>
        <w:rPr>
          <w:rFonts w:ascii="Arial" w:hAnsi="Arial" w:cs="Arial"/>
          <w:b/>
          <w:bCs/>
        </w:rPr>
      </w:pPr>
    </w:p>
    <w:p w:rsidR="00636D07" w:rsidRDefault="00636D07" w:rsidP="003F0F07">
      <w:pPr>
        <w:spacing w:after="0" w:line="240" w:lineRule="auto"/>
        <w:jc w:val="both"/>
        <w:rPr>
          <w:rFonts w:ascii="Arial" w:hAnsi="Arial" w:cs="Arial"/>
          <w:b/>
          <w:bCs/>
        </w:rPr>
      </w:pPr>
      <w:r>
        <w:rPr>
          <w:rFonts w:ascii="Arial" w:hAnsi="Arial" w:cs="Arial"/>
          <w:b/>
          <w:bCs/>
        </w:rPr>
        <w:t>Modalités de traitement pour l’aide à domicile, la médiation familiale et les relais d’assistants maternels</w:t>
      </w:r>
    </w:p>
    <w:p w:rsidR="00636D07" w:rsidRDefault="00636D07" w:rsidP="003F0F07">
      <w:pPr>
        <w:spacing w:after="0" w:line="240" w:lineRule="auto"/>
        <w:ind w:left="72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rPr>
        <w:t xml:space="preserve">Pour ces trois types d’équipement, les prestations de service </w:t>
      </w:r>
      <w:r w:rsidR="00E432E2">
        <w:rPr>
          <w:rFonts w:ascii="Arial" w:hAnsi="Arial" w:cs="Arial"/>
        </w:rPr>
        <w:t>participent fortement à la prise en compte du coût de fonctionnement.</w:t>
      </w:r>
      <w:r>
        <w:rPr>
          <w:rFonts w:ascii="Arial" w:hAnsi="Arial" w:cs="Arial"/>
        </w:rPr>
        <w:t xml:space="preserve"> </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rPr>
        <w:t xml:space="preserve">Afin de ne pas pénaliser les gestionnaires et de conserver une simplicité de traitement pour les Caf, il est </w:t>
      </w:r>
      <w:r w:rsidR="00E432E2">
        <w:rPr>
          <w:rFonts w:ascii="Arial" w:hAnsi="Arial" w:cs="Arial"/>
        </w:rPr>
        <w:t>décidé</w:t>
      </w:r>
      <w:r>
        <w:rPr>
          <w:rFonts w:ascii="Arial" w:hAnsi="Arial" w:cs="Arial"/>
        </w:rPr>
        <w:t xml:space="preserve"> que ceux-ci neutralisent la période de fermeture dans la durée d’activité déclarée, sauf s’ils ont bénéficié d’une indemnisation au titre de l’activité partielle.</w:t>
      </w:r>
    </w:p>
    <w:p w:rsidR="00636D07" w:rsidRDefault="00636D07" w:rsidP="003F0F07">
      <w:pPr>
        <w:spacing w:after="0" w:line="240" w:lineRule="auto"/>
        <w:jc w:val="both"/>
        <w:rPr>
          <w:rFonts w:ascii="Arial" w:hAnsi="Arial" w:cs="Arial"/>
        </w:rPr>
      </w:pPr>
    </w:p>
    <w:p w:rsidR="00636D07" w:rsidRDefault="00636D07" w:rsidP="003F0F07">
      <w:pPr>
        <w:spacing w:after="0" w:line="240" w:lineRule="auto"/>
        <w:jc w:val="both"/>
        <w:rPr>
          <w:rFonts w:ascii="Arial" w:hAnsi="Arial" w:cs="Arial"/>
        </w:rPr>
      </w:pPr>
    </w:p>
    <w:p w:rsidR="00636D07" w:rsidRDefault="00636D07" w:rsidP="003F0F07">
      <w:pPr>
        <w:tabs>
          <w:tab w:val="left" w:pos="5897"/>
        </w:tabs>
        <w:spacing w:after="0" w:line="240" w:lineRule="auto"/>
        <w:jc w:val="both"/>
        <w:rPr>
          <w:rFonts w:ascii="Arial" w:hAnsi="Arial" w:cs="Arial"/>
        </w:rPr>
      </w:pPr>
    </w:p>
    <w:p w:rsidR="00636D07" w:rsidRDefault="00636D07" w:rsidP="003F0F07">
      <w:pPr>
        <w:spacing w:after="0" w:line="240" w:lineRule="auto"/>
        <w:jc w:val="both"/>
        <w:rPr>
          <w:rFonts w:ascii="Arial" w:hAnsi="Arial" w:cs="Arial"/>
          <w:b/>
          <w:bCs/>
        </w:rPr>
      </w:pPr>
      <w:r>
        <w:rPr>
          <w:rFonts w:ascii="Arial" w:hAnsi="Arial" w:cs="Arial"/>
          <w:b/>
          <w:bCs/>
        </w:rPr>
        <w:t xml:space="preserve">Modalités de traitement pour les </w:t>
      </w:r>
      <w:proofErr w:type="spellStart"/>
      <w:r>
        <w:rPr>
          <w:rFonts w:ascii="Arial" w:hAnsi="Arial" w:cs="Arial"/>
          <w:b/>
          <w:bCs/>
        </w:rPr>
        <w:t>Alsh</w:t>
      </w:r>
      <w:proofErr w:type="spellEnd"/>
      <w:r>
        <w:rPr>
          <w:rFonts w:ascii="Arial" w:hAnsi="Arial" w:cs="Arial"/>
          <w:b/>
          <w:bCs/>
        </w:rPr>
        <w:t xml:space="preserve">, les </w:t>
      </w:r>
      <w:proofErr w:type="spellStart"/>
      <w:r>
        <w:rPr>
          <w:rFonts w:ascii="Arial" w:hAnsi="Arial" w:cs="Arial"/>
          <w:b/>
          <w:bCs/>
        </w:rPr>
        <w:t>Laep</w:t>
      </w:r>
      <w:proofErr w:type="spellEnd"/>
      <w:r>
        <w:rPr>
          <w:rFonts w:ascii="Arial" w:hAnsi="Arial" w:cs="Arial"/>
          <w:b/>
          <w:bCs/>
        </w:rPr>
        <w:t>, les espaces rencontres, les foyers de jeunes trava</w:t>
      </w:r>
      <w:r w:rsidR="00680CB7">
        <w:rPr>
          <w:rFonts w:ascii="Arial" w:hAnsi="Arial" w:cs="Arial"/>
          <w:b/>
          <w:bCs/>
        </w:rPr>
        <w:t>illeurs, les prestations de serv</w:t>
      </w:r>
      <w:r>
        <w:rPr>
          <w:rFonts w:ascii="Arial" w:hAnsi="Arial" w:cs="Arial"/>
          <w:b/>
          <w:bCs/>
        </w:rPr>
        <w:t>ice Jeunes et en matière d’animation de la vie sociale</w:t>
      </w:r>
    </w:p>
    <w:p w:rsidR="00636D07" w:rsidRDefault="00636D07" w:rsidP="003F0F07">
      <w:pPr>
        <w:spacing w:after="0" w:line="240" w:lineRule="auto"/>
        <w:ind w:left="36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rPr>
        <w:t>S’agissant des accueils de loisirs sans hébergement (</w:t>
      </w:r>
      <w:proofErr w:type="spellStart"/>
      <w:r>
        <w:rPr>
          <w:rFonts w:ascii="Arial" w:hAnsi="Arial" w:cs="Arial"/>
        </w:rPr>
        <w:t>Alsh</w:t>
      </w:r>
      <w:proofErr w:type="spellEnd"/>
      <w:r>
        <w:rPr>
          <w:rFonts w:ascii="Arial" w:hAnsi="Arial" w:cs="Arial"/>
        </w:rPr>
        <w:t>), des lieux d’accueil enfants parents (</w:t>
      </w:r>
      <w:proofErr w:type="spellStart"/>
      <w:r>
        <w:rPr>
          <w:rFonts w:ascii="Arial" w:hAnsi="Arial" w:cs="Arial"/>
        </w:rPr>
        <w:t>Laep</w:t>
      </w:r>
      <w:proofErr w:type="spellEnd"/>
      <w:r>
        <w:rPr>
          <w:rFonts w:ascii="Arial" w:hAnsi="Arial" w:cs="Arial"/>
        </w:rPr>
        <w:t>), des foyers de jeunes travailleurs (</w:t>
      </w:r>
      <w:proofErr w:type="spellStart"/>
      <w:r>
        <w:rPr>
          <w:rFonts w:ascii="Arial" w:hAnsi="Arial" w:cs="Arial"/>
        </w:rPr>
        <w:t>Fjt</w:t>
      </w:r>
      <w:proofErr w:type="spellEnd"/>
      <w:r>
        <w:rPr>
          <w:rFonts w:ascii="Arial" w:hAnsi="Arial" w:cs="Arial"/>
        </w:rPr>
        <w:t xml:space="preserve">), des dispositifs d’animation de la </w:t>
      </w:r>
      <w:r w:rsidR="00E432E2">
        <w:rPr>
          <w:rFonts w:ascii="Arial" w:hAnsi="Arial" w:cs="Arial"/>
        </w:rPr>
        <w:t>vie sociale et de la Ps Jeunes</w:t>
      </w:r>
      <w:r>
        <w:rPr>
          <w:rFonts w:ascii="Arial" w:hAnsi="Arial" w:cs="Arial"/>
        </w:rPr>
        <w:t xml:space="preserve">, il est </w:t>
      </w:r>
      <w:r w:rsidR="00E432E2">
        <w:rPr>
          <w:rFonts w:ascii="Arial" w:hAnsi="Arial" w:cs="Arial"/>
        </w:rPr>
        <w:t>décid</w:t>
      </w:r>
      <w:r>
        <w:rPr>
          <w:rFonts w:ascii="Arial" w:hAnsi="Arial" w:cs="Arial"/>
        </w:rPr>
        <w:t xml:space="preserve">é de neutraliser les périodes de fermeture dans le calcul de la Ps, y compris si le gestionnaire mobilise le dispositif d’activité partielle. </w:t>
      </w:r>
    </w:p>
    <w:p w:rsidR="00680CB7" w:rsidRDefault="00680CB7" w:rsidP="003F0F07">
      <w:pPr>
        <w:pStyle w:val="Paragraphedeliste"/>
        <w:spacing w:after="0" w:line="240" w:lineRule="auto"/>
        <w:ind w:left="0"/>
        <w:jc w:val="both"/>
        <w:rPr>
          <w:rFonts w:ascii="Arial" w:hAnsi="Arial" w:cs="Arial"/>
        </w:rPr>
      </w:pPr>
    </w:p>
    <w:p w:rsidR="00680CB7" w:rsidRPr="00680CB7" w:rsidRDefault="00680CB7" w:rsidP="003F0F07">
      <w:pPr>
        <w:autoSpaceDE w:val="0"/>
        <w:autoSpaceDN w:val="0"/>
        <w:adjustRightInd w:val="0"/>
        <w:spacing w:after="0" w:line="240" w:lineRule="auto"/>
        <w:jc w:val="both"/>
        <w:rPr>
          <w:rFonts w:ascii="Arial" w:eastAsiaTheme="minorHAnsi" w:hAnsi="Arial" w:cs="Arial"/>
        </w:rPr>
      </w:pPr>
      <w:r w:rsidRPr="00680CB7">
        <w:rPr>
          <w:rFonts w:ascii="Arial" w:eastAsiaTheme="minorHAnsi" w:hAnsi="Arial" w:cs="Arial"/>
        </w:rPr>
        <w:t>Il est demandé à l’ensemble des str</w:t>
      </w:r>
      <w:r>
        <w:rPr>
          <w:rFonts w:ascii="Arial" w:eastAsiaTheme="minorHAnsi" w:hAnsi="Arial" w:cs="Arial"/>
        </w:rPr>
        <w:t xml:space="preserve">uctures financées par les Caf à travers une Ps de </w:t>
      </w:r>
      <w:r w:rsidRPr="00680CB7">
        <w:rPr>
          <w:rFonts w:ascii="Arial" w:eastAsiaTheme="minorHAnsi" w:hAnsi="Arial" w:cs="Arial"/>
        </w:rPr>
        <w:t>maintenir une offre</w:t>
      </w:r>
      <w:r>
        <w:rPr>
          <w:rFonts w:ascii="Arial" w:eastAsiaTheme="minorHAnsi" w:hAnsi="Arial" w:cs="Arial"/>
        </w:rPr>
        <w:t xml:space="preserve"> de service minimum aux usagers </w:t>
      </w:r>
      <w:r w:rsidRPr="00680CB7">
        <w:rPr>
          <w:rFonts w:ascii="Arial" w:eastAsiaTheme="minorHAnsi" w:hAnsi="Arial" w:cs="Arial"/>
        </w:rPr>
        <w:t>de la st</w:t>
      </w:r>
      <w:r>
        <w:rPr>
          <w:rFonts w:ascii="Arial" w:eastAsiaTheme="minorHAnsi" w:hAnsi="Arial" w:cs="Arial"/>
        </w:rPr>
        <w:t>ructure. S’agi</w:t>
      </w:r>
      <w:r w:rsidRPr="00680CB7">
        <w:rPr>
          <w:rFonts w:ascii="Arial" w:eastAsiaTheme="minorHAnsi" w:hAnsi="Arial" w:cs="Arial"/>
        </w:rPr>
        <w:t xml:space="preserve">ssant des </w:t>
      </w:r>
      <w:proofErr w:type="spellStart"/>
      <w:r w:rsidRPr="00680CB7">
        <w:rPr>
          <w:rFonts w:ascii="Arial" w:eastAsiaTheme="minorHAnsi" w:hAnsi="Arial" w:cs="Arial"/>
        </w:rPr>
        <w:t>Alsh</w:t>
      </w:r>
      <w:proofErr w:type="spellEnd"/>
      <w:r w:rsidRPr="00680CB7">
        <w:rPr>
          <w:rFonts w:ascii="Arial" w:eastAsiaTheme="minorHAnsi" w:hAnsi="Arial" w:cs="Arial"/>
        </w:rPr>
        <w:t>, il e</w:t>
      </w:r>
      <w:r>
        <w:rPr>
          <w:rFonts w:ascii="Arial" w:eastAsiaTheme="minorHAnsi" w:hAnsi="Arial" w:cs="Arial"/>
        </w:rPr>
        <w:t xml:space="preserve">st demandé qu’ils puissent être </w:t>
      </w:r>
      <w:r w:rsidRPr="00680CB7">
        <w:rPr>
          <w:rFonts w:ascii="Arial" w:eastAsiaTheme="minorHAnsi" w:hAnsi="Arial" w:cs="Arial"/>
        </w:rPr>
        <w:t>en capacité de contri</w:t>
      </w:r>
      <w:r>
        <w:rPr>
          <w:rFonts w:ascii="Arial" w:eastAsiaTheme="minorHAnsi" w:hAnsi="Arial" w:cs="Arial"/>
        </w:rPr>
        <w:t xml:space="preserve">buer à l’accueil des enfants de personnels </w:t>
      </w:r>
      <w:r w:rsidRPr="00680CB7">
        <w:rPr>
          <w:rFonts w:ascii="Arial" w:eastAsiaTheme="minorHAnsi" w:hAnsi="Arial" w:cs="Arial"/>
        </w:rPr>
        <w:t>prioritaires.</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b/>
          <w:bCs/>
        </w:rPr>
        <w:t>Pour les Ps dites « à la fonction »</w:t>
      </w:r>
      <w:r>
        <w:rPr>
          <w:rFonts w:ascii="Arial" w:hAnsi="Arial" w:cs="Arial"/>
        </w:rPr>
        <w:t xml:space="preserve"> (ex/ Ps </w:t>
      </w:r>
      <w:proofErr w:type="spellStart"/>
      <w:r>
        <w:rPr>
          <w:rFonts w:ascii="Arial" w:hAnsi="Arial" w:cs="Arial"/>
        </w:rPr>
        <w:t>Fjt</w:t>
      </w:r>
      <w:proofErr w:type="spellEnd"/>
      <w:r>
        <w:rPr>
          <w:rFonts w:ascii="Arial" w:hAnsi="Arial" w:cs="Arial"/>
        </w:rPr>
        <w:t>, Ps jeunes) reposant essentiellement sur la prise en charge d’un volume d’</w:t>
      </w:r>
      <w:proofErr w:type="spellStart"/>
      <w:r>
        <w:rPr>
          <w:rFonts w:ascii="Arial" w:hAnsi="Arial" w:cs="Arial"/>
        </w:rPr>
        <w:t>Etp</w:t>
      </w:r>
      <w:proofErr w:type="spellEnd"/>
      <w:r>
        <w:rPr>
          <w:rFonts w:ascii="Arial" w:hAnsi="Arial" w:cs="Arial"/>
        </w:rPr>
        <w:t xml:space="preserve"> au sein des structures, il est proposé de ne pas tenir compte de la période de fermeture dans la déclaration de données et dans le traitement de l’aide.  </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Pr>
          <w:rFonts w:ascii="Arial" w:hAnsi="Arial" w:cs="Arial"/>
          <w:b/>
          <w:bCs/>
        </w:rPr>
        <w:t>Pour les Ps dites « à l’acte »</w:t>
      </w:r>
      <w:r>
        <w:rPr>
          <w:rFonts w:ascii="Arial" w:hAnsi="Arial" w:cs="Arial"/>
        </w:rPr>
        <w:t xml:space="preserve"> ne reposant pas sur la prise en charge d’</w:t>
      </w:r>
      <w:proofErr w:type="spellStart"/>
      <w:r>
        <w:rPr>
          <w:rFonts w:ascii="Arial" w:hAnsi="Arial" w:cs="Arial"/>
        </w:rPr>
        <w:t>Etp</w:t>
      </w:r>
      <w:proofErr w:type="spellEnd"/>
      <w:r>
        <w:rPr>
          <w:rFonts w:ascii="Arial" w:hAnsi="Arial" w:cs="Arial"/>
        </w:rPr>
        <w:t xml:space="preserve"> mais sur un volume d’activité (ex/ </w:t>
      </w:r>
      <w:proofErr w:type="spellStart"/>
      <w:r>
        <w:rPr>
          <w:rFonts w:ascii="Arial" w:hAnsi="Arial" w:cs="Arial"/>
        </w:rPr>
        <w:t>Pso</w:t>
      </w:r>
      <w:proofErr w:type="spellEnd"/>
      <w:r>
        <w:rPr>
          <w:rFonts w:ascii="Arial" w:hAnsi="Arial" w:cs="Arial"/>
        </w:rPr>
        <w:t xml:space="preserve"> </w:t>
      </w:r>
      <w:proofErr w:type="spellStart"/>
      <w:r>
        <w:rPr>
          <w:rFonts w:ascii="Arial" w:hAnsi="Arial" w:cs="Arial"/>
        </w:rPr>
        <w:t>Alsh</w:t>
      </w:r>
      <w:proofErr w:type="spellEnd"/>
      <w:r>
        <w:rPr>
          <w:rFonts w:ascii="Arial" w:hAnsi="Arial" w:cs="Arial"/>
        </w:rPr>
        <w:t xml:space="preserve"> ; Ps </w:t>
      </w:r>
      <w:proofErr w:type="spellStart"/>
      <w:r>
        <w:rPr>
          <w:rFonts w:ascii="Arial" w:hAnsi="Arial" w:cs="Arial"/>
        </w:rPr>
        <w:t>Laep</w:t>
      </w:r>
      <w:proofErr w:type="spellEnd"/>
      <w:r>
        <w:rPr>
          <w:rFonts w:ascii="Arial" w:hAnsi="Arial" w:cs="Arial"/>
        </w:rPr>
        <w:t xml:space="preserve">), il est proposé de déclarer le nombre d’heures comme si l’activité avait été réalisée : </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numPr>
          <w:ilvl w:val="0"/>
          <w:numId w:val="6"/>
        </w:numPr>
        <w:spacing w:after="0" w:line="240" w:lineRule="auto"/>
        <w:ind w:left="0"/>
        <w:jc w:val="both"/>
        <w:rPr>
          <w:rFonts w:ascii="Arial" w:hAnsi="Arial" w:cs="Arial"/>
        </w:rPr>
      </w:pPr>
      <w:r>
        <w:rPr>
          <w:rFonts w:ascii="Arial" w:hAnsi="Arial" w:cs="Arial"/>
        </w:rPr>
        <w:t>pour les services ayant eu une activité en 2019 : prise en compte du nombre d’heures d’ouverture réalisées sur la même période en 2019 ;</w:t>
      </w:r>
    </w:p>
    <w:p w:rsidR="00636D07" w:rsidRDefault="00636D07" w:rsidP="003F0F07">
      <w:pPr>
        <w:numPr>
          <w:ilvl w:val="0"/>
          <w:numId w:val="6"/>
        </w:numPr>
        <w:spacing w:after="0" w:line="240" w:lineRule="auto"/>
        <w:ind w:left="0"/>
        <w:jc w:val="both"/>
        <w:rPr>
          <w:rFonts w:ascii="Arial" w:hAnsi="Arial" w:cs="Arial"/>
        </w:rPr>
      </w:pPr>
      <w:r>
        <w:rPr>
          <w:rFonts w:ascii="Arial" w:hAnsi="Arial" w:cs="Arial"/>
        </w:rPr>
        <w:t xml:space="preserve">pour les services n’ayant pas eu d’activité en 2019 : prise en compte du nombre moyen d’heures observé sur la période de référence de janvier et février 2020. </w:t>
      </w: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p>
    <w:p w:rsidR="00636D07" w:rsidRDefault="00636D07" w:rsidP="003F0F07">
      <w:pPr>
        <w:pStyle w:val="Paragraphedeliste"/>
        <w:spacing w:after="0" w:line="240" w:lineRule="auto"/>
        <w:ind w:left="0"/>
        <w:jc w:val="both"/>
        <w:rPr>
          <w:rFonts w:ascii="Arial" w:hAnsi="Arial" w:cs="Arial"/>
        </w:rPr>
      </w:pPr>
      <w:r w:rsidRPr="00E432E2">
        <w:rPr>
          <w:rFonts w:ascii="Arial" w:hAnsi="Arial" w:cs="Arial"/>
        </w:rPr>
        <w:t>La déclaration d’une activité simi</w:t>
      </w:r>
      <w:r w:rsidR="00E432E2">
        <w:rPr>
          <w:rFonts w:ascii="Arial" w:hAnsi="Arial" w:cs="Arial"/>
        </w:rPr>
        <w:t>laire à celle de l’année précéde</w:t>
      </w:r>
      <w:r w:rsidRPr="00E432E2">
        <w:rPr>
          <w:rFonts w:ascii="Arial" w:hAnsi="Arial" w:cs="Arial"/>
        </w:rPr>
        <w:t>nte vaut uniquement pour la période de fermeture. Des contrôles pourront être effectués sur la détermination de ces données d’activité comme sur l’activité réalisée le reste de l’année.</w:t>
      </w:r>
    </w:p>
    <w:p w:rsidR="00E432E2" w:rsidRPr="00E432E2" w:rsidRDefault="00E432E2" w:rsidP="003F0F07">
      <w:pPr>
        <w:pStyle w:val="Paragraphedeliste"/>
        <w:spacing w:after="0" w:line="240" w:lineRule="auto"/>
        <w:ind w:left="0"/>
        <w:jc w:val="both"/>
        <w:rPr>
          <w:rFonts w:ascii="Arial" w:hAnsi="Arial" w:cs="Arial"/>
        </w:rPr>
      </w:pPr>
    </w:p>
    <w:p w:rsidR="00E432E2" w:rsidRPr="00E432E2" w:rsidRDefault="00E432E2" w:rsidP="003F0F07">
      <w:pPr>
        <w:jc w:val="both"/>
        <w:rPr>
          <w:rFonts w:ascii="Arial" w:hAnsi="Arial" w:cs="Arial"/>
        </w:rPr>
      </w:pPr>
      <w:r>
        <w:rPr>
          <w:rFonts w:ascii="Arial" w:hAnsi="Arial" w:cs="Arial"/>
        </w:rPr>
        <w:t xml:space="preserve">Pour les </w:t>
      </w:r>
      <w:proofErr w:type="spellStart"/>
      <w:r>
        <w:rPr>
          <w:rFonts w:ascii="Arial" w:hAnsi="Arial" w:cs="Arial"/>
        </w:rPr>
        <w:t>Alsh</w:t>
      </w:r>
      <w:proofErr w:type="spellEnd"/>
      <w:r w:rsidRPr="00E432E2">
        <w:rPr>
          <w:rFonts w:ascii="Arial" w:hAnsi="Arial" w:cs="Arial"/>
        </w:rPr>
        <w:t xml:space="preserve"> ouverts c’est la même règle que pour les </w:t>
      </w:r>
      <w:proofErr w:type="spellStart"/>
      <w:r>
        <w:rPr>
          <w:rFonts w:ascii="Arial" w:hAnsi="Arial" w:cs="Arial"/>
        </w:rPr>
        <w:t>Alsh</w:t>
      </w:r>
      <w:proofErr w:type="spellEnd"/>
      <w:r>
        <w:rPr>
          <w:rFonts w:ascii="Arial" w:hAnsi="Arial" w:cs="Arial"/>
        </w:rPr>
        <w:t xml:space="preserve"> fermés qui est retenue : </w:t>
      </w:r>
      <w:r w:rsidRPr="00E432E2">
        <w:rPr>
          <w:rFonts w:ascii="Arial" w:hAnsi="Arial" w:cs="Arial"/>
        </w:rPr>
        <w:t>l’activité déclarée en 2019 sur la même période</w:t>
      </w:r>
      <w:r>
        <w:rPr>
          <w:rFonts w:ascii="Arial" w:hAnsi="Arial" w:cs="Arial"/>
        </w:rPr>
        <w:t xml:space="preserve"> est prise en compte. S’il n’y a </w:t>
      </w:r>
      <w:r w:rsidRPr="00E432E2">
        <w:rPr>
          <w:rFonts w:ascii="Arial" w:hAnsi="Arial" w:cs="Arial"/>
        </w:rPr>
        <w:t xml:space="preserve">pas </w:t>
      </w:r>
      <w:r>
        <w:rPr>
          <w:rFonts w:ascii="Arial" w:hAnsi="Arial" w:cs="Arial"/>
        </w:rPr>
        <w:t xml:space="preserve">eu </w:t>
      </w:r>
      <w:r w:rsidRPr="00E432E2">
        <w:rPr>
          <w:rFonts w:ascii="Arial" w:hAnsi="Arial" w:cs="Arial"/>
        </w:rPr>
        <w:t>d’activité en 2019, on prend la moyenne de l’activi</w:t>
      </w:r>
      <w:r>
        <w:rPr>
          <w:rFonts w:ascii="Arial" w:hAnsi="Arial" w:cs="Arial"/>
        </w:rPr>
        <w:t>té sur janvier et février 2020</w:t>
      </w:r>
    </w:p>
    <w:p w:rsidR="00636D07" w:rsidRDefault="00636D07" w:rsidP="003F0F07">
      <w:pPr>
        <w:pStyle w:val="Paragraphedeliste"/>
        <w:spacing w:after="0" w:line="240" w:lineRule="auto"/>
        <w:ind w:left="0"/>
        <w:jc w:val="both"/>
        <w:rPr>
          <w:rFonts w:ascii="Arial" w:hAnsi="Arial" w:cs="Arial"/>
        </w:rPr>
      </w:pPr>
      <w:r>
        <w:rPr>
          <w:rFonts w:ascii="Arial" w:hAnsi="Arial" w:cs="Arial"/>
        </w:rPr>
        <w:t xml:space="preserve">Ces modalités comportent plusieurs avantages :  </w:t>
      </w:r>
    </w:p>
    <w:p w:rsidR="00680CB7" w:rsidRDefault="00680CB7" w:rsidP="003F0F07">
      <w:pPr>
        <w:pStyle w:val="Paragraphedeliste"/>
        <w:spacing w:after="0" w:line="240" w:lineRule="auto"/>
        <w:ind w:left="0"/>
        <w:jc w:val="both"/>
        <w:rPr>
          <w:rFonts w:ascii="Arial" w:hAnsi="Arial" w:cs="Arial"/>
        </w:rPr>
      </w:pPr>
    </w:p>
    <w:p w:rsidR="00636D07" w:rsidRDefault="00636D07" w:rsidP="003F0F07">
      <w:pPr>
        <w:numPr>
          <w:ilvl w:val="0"/>
          <w:numId w:val="6"/>
        </w:numPr>
        <w:spacing w:after="0" w:line="240" w:lineRule="auto"/>
        <w:ind w:left="0"/>
        <w:jc w:val="both"/>
        <w:rPr>
          <w:rFonts w:ascii="Arial" w:hAnsi="Arial" w:cs="Arial"/>
        </w:rPr>
      </w:pPr>
      <w:r>
        <w:rPr>
          <w:rFonts w:ascii="Arial" w:hAnsi="Arial" w:cs="Arial"/>
        </w:rPr>
        <w:t>elles sont simples à mettre en œuvre ;</w:t>
      </w:r>
    </w:p>
    <w:p w:rsidR="00636D07" w:rsidRDefault="00636D07" w:rsidP="003F0F07">
      <w:pPr>
        <w:numPr>
          <w:ilvl w:val="0"/>
          <w:numId w:val="6"/>
        </w:numPr>
        <w:spacing w:after="0" w:line="240" w:lineRule="auto"/>
        <w:ind w:left="0"/>
        <w:jc w:val="both"/>
        <w:rPr>
          <w:rFonts w:ascii="Arial" w:hAnsi="Arial" w:cs="Arial"/>
        </w:rPr>
      </w:pPr>
      <w:r>
        <w:rPr>
          <w:rFonts w:ascii="Arial" w:hAnsi="Arial" w:cs="Arial"/>
        </w:rPr>
        <w:lastRenderedPageBreak/>
        <w:t>elles permettent de ne pas alourdir les charges de gestion pour les gestionnaires et les Caf ;</w:t>
      </w:r>
    </w:p>
    <w:p w:rsidR="00636D07" w:rsidRDefault="00636D07" w:rsidP="003F0F07">
      <w:pPr>
        <w:numPr>
          <w:ilvl w:val="0"/>
          <w:numId w:val="6"/>
        </w:numPr>
        <w:spacing w:after="0" w:line="240" w:lineRule="auto"/>
        <w:ind w:left="0"/>
        <w:jc w:val="both"/>
        <w:rPr>
          <w:rFonts w:ascii="Arial" w:hAnsi="Arial" w:cs="Arial"/>
        </w:rPr>
      </w:pPr>
      <w:r>
        <w:rPr>
          <w:rFonts w:ascii="Arial" w:hAnsi="Arial" w:cs="Arial"/>
        </w:rPr>
        <w:t xml:space="preserve">elles permettent de ne pas fausser les contrôles de cohérence mis en œuvre dans le système informatique des Caf et de ne pas générer de suppression de financements au titre par exemple de la bonification « Plan mercredi » s’agissant des </w:t>
      </w:r>
      <w:proofErr w:type="spellStart"/>
      <w:r>
        <w:rPr>
          <w:rFonts w:ascii="Arial" w:hAnsi="Arial" w:cs="Arial"/>
        </w:rPr>
        <w:t>Alsh</w:t>
      </w:r>
      <w:proofErr w:type="spellEnd"/>
      <w:r>
        <w:rPr>
          <w:rFonts w:ascii="Arial" w:hAnsi="Arial" w:cs="Arial"/>
        </w:rPr>
        <w:t xml:space="preserve">, qui repose sur un volume d’heures réalisées sur l’année, comparées à l’année 2017. </w:t>
      </w:r>
    </w:p>
    <w:p w:rsidR="00636D07" w:rsidRDefault="00636D07" w:rsidP="00636D07">
      <w:pPr>
        <w:spacing w:after="0" w:line="240" w:lineRule="auto"/>
        <w:ind w:left="360"/>
        <w:jc w:val="both"/>
        <w:rPr>
          <w:rFonts w:ascii="Arial" w:hAnsi="Arial" w:cs="Arial"/>
        </w:rPr>
      </w:pPr>
    </w:p>
    <w:p w:rsidR="00636D07" w:rsidRDefault="00636D07" w:rsidP="00636D07">
      <w:pPr>
        <w:spacing w:after="0" w:line="240" w:lineRule="auto"/>
        <w:ind w:left="360"/>
        <w:jc w:val="both"/>
        <w:rPr>
          <w:rFonts w:ascii="Arial" w:hAnsi="Arial" w:cs="Arial"/>
        </w:rPr>
      </w:pPr>
    </w:p>
    <w:p w:rsidR="008C73EC" w:rsidRDefault="003F0F07" w:rsidP="008C73EC">
      <w:r>
        <w:rPr>
          <w:rFonts w:ascii="Arial" w:hAnsi="Arial" w:cs="Arial"/>
          <w:u w:val="single"/>
        </w:rPr>
        <w:t>Pour toute précision, consultez le site caf.fr</w:t>
      </w:r>
      <w:r w:rsidR="008C73EC">
        <w:rPr>
          <w:rFonts w:ascii="Arial" w:hAnsi="Arial" w:cs="Arial"/>
          <w:u w:val="single"/>
        </w:rPr>
        <w:t xml:space="preserve"> </w:t>
      </w:r>
      <w:bookmarkStart w:id="0" w:name="_GoBack"/>
      <w:bookmarkEnd w:id="0"/>
      <w:r w:rsidR="008C73EC">
        <w:rPr>
          <w:rFonts w:ascii="Arial" w:hAnsi="Arial" w:cs="Arial"/>
          <w:u w:val="single"/>
        </w:rPr>
        <w:t xml:space="preserve">: </w:t>
      </w:r>
      <w:hyperlink r:id="rId6" w:history="1">
        <w:r w:rsidR="008C73EC">
          <w:rPr>
            <w:rStyle w:val="Lienhypertexte"/>
          </w:rPr>
          <w:t>http://www.caf.fr/presse-institutionnel/presse/communiques-de-presse-2020</w:t>
        </w:r>
      </w:hyperlink>
    </w:p>
    <w:p w:rsidR="008C73EC" w:rsidRDefault="008C73EC" w:rsidP="008C73EC"/>
    <w:p w:rsidR="003F0F07" w:rsidRDefault="003F0F07" w:rsidP="00636D07">
      <w:pPr>
        <w:spacing w:after="0" w:line="240" w:lineRule="auto"/>
        <w:jc w:val="both"/>
        <w:rPr>
          <w:rFonts w:ascii="Arial" w:hAnsi="Arial" w:cs="Arial"/>
          <w:u w:val="single"/>
        </w:rPr>
      </w:pPr>
    </w:p>
    <w:p w:rsidR="00636D07" w:rsidRDefault="00636D07" w:rsidP="00636D07">
      <w:pPr>
        <w:spacing w:after="0" w:line="240" w:lineRule="auto"/>
        <w:jc w:val="both"/>
        <w:rPr>
          <w:rFonts w:ascii="Arial" w:hAnsi="Arial" w:cs="Arial"/>
          <w:u w:val="single"/>
        </w:rPr>
      </w:pPr>
    </w:p>
    <w:p w:rsidR="00636D07" w:rsidRDefault="00636D07" w:rsidP="00680CB7">
      <w:pPr>
        <w:spacing w:after="0" w:line="240" w:lineRule="auto"/>
        <w:jc w:val="both"/>
        <w:rPr>
          <w:rFonts w:ascii="Arial" w:hAnsi="Arial" w:cs="Arial"/>
        </w:rPr>
      </w:pPr>
    </w:p>
    <w:p w:rsidR="00E81792" w:rsidRDefault="00E81792"/>
    <w:sectPr w:rsidR="00E817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IDFont+F4">
    <w:panose1 w:val="00000000000000000000"/>
    <w:charset w:val="00"/>
    <w:family w:val="auto"/>
    <w:notTrueType/>
    <w:pitch w:val="default"/>
    <w:sig w:usb0="00000003" w:usb1="00000000" w:usb2="00000000" w:usb3="00000000" w:csb0="00000001" w:csb1="00000000"/>
  </w:font>
  <w:font w:name="CIDFont+F5">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5FB5"/>
    <w:multiLevelType w:val="hybridMultilevel"/>
    <w:tmpl w:val="DD4C5746"/>
    <w:lvl w:ilvl="0" w:tplc="4808EC5E">
      <w:start w:val="1"/>
      <w:numFmt w:val="bullet"/>
      <w:lvlText w:val="-"/>
      <w:lvlJc w:val="left"/>
      <w:pPr>
        <w:ind w:left="-207" w:hanging="360"/>
      </w:pPr>
      <w:rPr>
        <w:rFonts w:ascii="Arial" w:eastAsia="Calibri" w:hAnsi="Arial" w:cs="Arial" w:hint="default"/>
      </w:rPr>
    </w:lvl>
    <w:lvl w:ilvl="1" w:tplc="2C6ECAFE">
      <w:numFmt w:val="bullet"/>
      <w:lvlText w:val="-"/>
      <w:lvlJc w:val="left"/>
      <w:pPr>
        <w:ind w:left="513" w:hanging="360"/>
      </w:pPr>
      <w:rPr>
        <w:rFonts w:ascii="Arial" w:eastAsia="Calibri" w:hAnsi="Arial" w:cs="Arial" w:hint="default"/>
      </w:rPr>
    </w:lvl>
    <w:lvl w:ilvl="2" w:tplc="040C0005">
      <w:start w:val="1"/>
      <w:numFmt w:val="bullet"/>
      <w:lvlText w:val=""/>
      <w:lvlJc w:val="left"/>
      <w:pPr>
        <w:ind w:left="1233" w:hanging="360"/>
      </w:pPr>
      <w:rPr>
        <w:rFonts w:ascii="Wingdings" w:hAnsi="Wingdings" w:hint="default"/>
      </w:rPr>
    </w:lvl>
    <w:lvl w:ilvl="3" w:tplc="040C0001">
      <w:start w:val="1"/>
      <w:numFmt w:val="bullet"/>
      <w:lvlText w:val=""/>
      <w:lvlJc w:val="left"/>
      <w:pPr>
        <w:ind w:left="1953" w:hanging="360"/>
      </w:pPr>
      <w:rPr>
        <w:rFonts w:ascii="Symbol" w:hAnsi="Symbol" w:hint="default"/>
      </w:rPr>
    </w:lvl>
    <w:lvl w:ilvl="4" w:tplc="040C0003">
      <w:start w:val="1"/>
      <w:numFmt w:val="bullet"/>
      <w:lvlText w:val="o"/>
      <w:lvlJc w:val="left"/>
      <w:pPr>
        <w:ind w:left="2673" w:hanging="360"/>
      </w:pPr>
      <w:rPr>
        <w:rFonts w:ascii="Courier New" w:hAnsi="Courier New" w:cs="Courier New" w:hint="default"/>
      </w:rPr>
    </w:lvl>
    <w:lvl w:ilvl="5" w:tplc="040C0005">
      <w:start w:val="1"/>
      <w:numFmt w:val="bullet"/>
      <w:lvlText w:val=""/>
      <w:lvlJc w:val="left"/>
      <w:pPr>
        <w:ind w:left="3393" w:hanging="360"/>
      </w:pPr>
      <w:rPr>
        <w:rFonts w:ascii="Wingdings" w:hAnsi="Wingdings" w:hint="default"/>
      </w:rPr>
    </w:lvl>
    <w:lvl w:ilvl="6" w:tplc="040C0001">
      <w:start w:val="1"/>
      <w:numFmt w:val="bullet"/>
      <w:lvlText w:val=""/>
      <w:lvlJc w:val="left"/>
      <w:pPr>
        <w:ind w:left="4113" w:hanging="360"/>
      </w:pPr>
      <w:rPr>
        <w:rFonts w:ascii="Symbol" w:hAnsi="Symbol" w:hint="default"/>
      </w:rPr>
    </w:lvl>
    <w:lvl w:ilvl="7" w:tplc="040C0003">
      <w:start w:val="1"/>
      <w:numFmt w:val="bullet"/>
      <w:lvlText w:val="o"/>
      <w:lvlJc w:val="left"/>
      <w:pPr>
        <w:ind w:left="4833" w:hanging="360"/>
      </w:pPr>
      <w:rPr>
        <w:rFonts w:ascii="Courier New" w:hAnsi="Courier New" w:cs="Courier New" w:hint="default"/>
      </w:rPr>
    </w:lvl>
    <w:lvl w:ilvl="8" w:tplc="040C0005">
      <w:start w:val="1"/>
      <w:numFmt w:val="bullet"/>
      <w:lvlText w:val=""/>
      <w:lvlJc w:val="left"/>
      <w:pPr>
        <w:ind w:left="5553" w:hanging="360"/>
      </w:pPr>
      <w:rPr>
        <w:rFonts w:ascii="Wingdings" w:hAnsi="Wingdings" w:hint="default"/>
      </w:rPr>
    </w:lvl>
  </w:abstractNum>
  <w:abstractNum w:abstractNumId="1">
    <w:nsid w:val="0A58707A"/>
    <w:multiLevelType w:val="hybridMultilevel"/>
    <w:tmpl w:val="623C2F0E"/>
    <w:lvl w:ilvl="0" w:tplc="399A4F1C">
      <w:start w:val="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26362EEB"/>
    <w:multiLevelType w:val="hybridMultilevel"/>
    <w:tmpl w:val="2F6489CA"/>
    <w:lvl w:ilvl="0" w:tplc="399A4F1C">
      <w:start w:val="1"/>
      <w:numFmt w:val="bullet"/>
      <w:lvlText w:val="-"/>
      <w:lvlJc w:val="left"/>
      <w:pPr>
        <w:ind w:left="2520" w:hanging="360"/>
      </w:pPr>
      <w:rPr>
        <w:rFonts w:ascii="Arial" w:eastAsia="Calibri" w:hAnsi="Arial" w:cs="Arial" w:hint="default"/>
      </w:rPr>
    </w:lvl>
    <w:lvl w:ilvl="1" w:tplc="040C0003">
      <w:start w:val="1"/>
      <w:numFmt w:val="bullet"/>
      <w:lvlText w:val="o"/>
      <w:lvlJc w:val="left"/>
      <w:pPr>
        <w:ind w:left="3240" w:hanging="360"/>
      </w:pPr>
      <w:rPr>
        <w:rFonts w:ascii="Courier New" w:hAnsi="Courier New" w:cs="Courier New" w:hint="default"/>
      </w:rPr>
    </w:lvl>
    <w:lvl w:ilvl="2" w:tplc="040C0005">
      <w:start w:val="1"/>
      <w:numFmt w:val="bullet"/>
      <w:lvlText w:val=""/>
      <w:lvlJc w:val="left"/>
      <w:pPr>
        <w:ind w:left="3960" w:hanging="360"/>
      </w:pPr>
      <w:rPr>
        <w:rFonts w:ascii="Wingdings" w:hAnsi="Wingdings" w:hint="default"/>
      </w:rPr>
    </w:lvl>
    <w:lvl w:ilvl="3" w:tplc="040C0001">
      <w:start w:val="1"/>
      <w:numFmt w:val="bullet"/>
      <w:lvlText w:val=""/>
      <w:lvlJc w:val="left"/>
      <w:pPr>
        <w:ind w:left="4680" w:hanging="360"/>
      </w:pPr>
      <w:rPr>
        <w:rFonts w:ascii="Symbol" w:hAnsi="Symbol" w:hint="default"/>
      </w:rPr>
    </w:lvl>
    <w:lvl w:ilvl="4" w:tplc="040C0003">
      <w:start w:val="1"/>
      <w:numFmt w:val="bullet"/>
      <w:lvlText w:val="o"/>
      <w:lvlJc w:val="left"/>
      <w:pPr>
        <w:ind w:left="5400" w:hanging="360"/>
      </w:pPr>
      <w:rPr>
        <w:rFonts w:ascii="Courier New" w:hAnsi="Courier New" w:cs="Courier New" w:hint="default"/>
      </w:rPr>
    </w:lvl>
    <w:lvl w:ilvl="5" w:tplc="040C0005">
      <w:start w:val="1"/>
      <w:numFmt w:val="bullet"/>
      <w:lvlText w:val=""/>
      <w:lvlJc w:val="left"/>
      <w:pPr>
        <w:ind w:left="6120" w:hanging="360"/>
      </w:pPr>
      <w:rPr>
        <w:rFonts w:ascii="Wingdings" w:hAnsi="Wingdings" w:hint="default"/>
      </w:rPr>
    </w:lvl>
    <w:lvl w:ilvl="6" w:tplc="040C0001">
      <w:start w:val="1"/>
      <w:numFmt w:val="bullet"/>
      <w:lvlText w:val=""/>
      <w:lvlJc w:val="left"/>
      <w:pPr>
        <w:ind w:left="6840" w:hanging="360"/>
      </w:pPr>
      <w:rPr>
        <w:rFonts w:ascii="Symbol" w:hAnsi="Symbol" w:hint="default"/>
      </w:rPr>
    </w:lvl>
    <w:lvl w:ilvl="7" w:tplc="040C0003">
      <w:start w:val="1"/>
      <w:numFmt w:val="bullet"/>
      <w:lvlText w:val="o"/>
      <w:lvlJc w:val="left"/>
      <w:pPr>
        <w:ind w:left="7560" w:hanging="360"/>
      </w:pPr>
      <w:rPr>
        <w:rFonts w:ascii="Courier New" w:hAnsi="Courier New" w:cs="Courier New" w:hint="default"/>
      </w:rPr>
    </w:lvl>
    <w:lvl w:ilvl="8" w:tplc="040C0005">
      <w:start w:val="1"/>
      <w:numFmt w:val="bullet"/>
      <w:lvlText w:val=""/>
      <w:lvlJc w:val="left"/>
      <w:pPr>
        <w:ind w:left="8280" w:hanging="360"/>
      </w:pPr>
      <w:rPr>
        <w:rFonts w:ascii="Wingdings" w:hAnsi="Wingdings" w:hint="default"/>
      </w:rPr>
    </w:lvl>
  </w:abstractNum>
  <w:abstractNum w:abstractNumId="3">
    <w:nsid w:val="419D716B"/>
    <w:multiLevelType w:val="hybridMultilevel"/>
    <w:tmpl w:val="9CC4AD1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449A169B"/>
    <w:multiLevelType w:val="hybridMultilevel"/>
    <w:tmpl w:val="D51AE3AA"/>
    <w:lvl w:ilvl="0" w:tplc="4808EC5E">
      <w:start w:val="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4F413709"/>
    <w:multiLevelType w:val="multilevel"/>
    <w:tmpl w:val="2788F23A"/>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nsid w:val="5A276564"/>
    <w:multiLevelType w:val="hybridMultilevel"/>
    <w:tmpl w:val="A41C30E2"/>
    <w:lvl w:ilvl="0" w:tplc="4808EC5E">
      <w:start w:val="1"/>
      <w:numFmt w:val="bullet"/>
      <w:lvlText w:val="-"/>
      <w:lvlJc w:val="left"/>
      <w:pPr>
        <w:ind w:left="-207" w:hanging="360"/>
      </w:pPr>
      <w:rPr>
        <w:rFonts w:ascii="Arial" w:eastAsia="Calibri" w:hAnsi="Arial" w:cs="Arial" w:hint="default"/>
      </w:rPr>
    </w:lvl>
    <w:lvl w:ilvl="1" w:tplc="040C0003">
      <w:start w:val="1"/>
      <w:numFmt w:val="bullet"/>
      <w:lvlText w:val="o"/>
      <w:lvlJc w:val="left"/>
      <w:pPr>
        <w:ind w:left="513" w:hanging="360"/>
      </w:pPr>
      <w:rPr>
        <w:rFonts w:ascii="Courier New" w:hAnsi="Courier New" w:cs="Courier New" w:hint="default"/>
      </w:rPr>
    </w:lvl>
    <w:lvl w:ilvl="2" w:tplc="040C0005">
      <w:start w:val="1"/>
      <w:numFmt w:val="bullet"/>
      <w:lvlText w:val=""/>
      <w:lvlJc w:val="left"/>
      <w:pPr>
        <w:ind w:left="1233" w:hanging="360"/>
      </w:pPr>
      <w:rPr>
        <w:rFonts w:ascii="Wingdings" w:hAnsi="Wingdings" w:hint="default"/>
      </w:rPr>
    </w:lvl>
    <w:lvl w:ilvl="3" w:tplc="040C0001">
      <w:start w:val="1"/>
      <w:numFmt w:val="bullet"/>
      <w:lvlText w:val=""/>
      <w:lvlJc w:val="left"/>
      <w:pPr>
        <w:ind w:left="1953" w:hanging="360"/>
      </w:pPr>
      <w:rPr>
        <w:rFonts w:ascii="Symbol" w:hAnsi="Symbol" w:hint="default"/>
      </w:rPr>
    </w:lvl>
    <w:lvl w:ilvl="4" w:tplc="040C0003">
      <w:start w:val="1"/>
      <w:numFmt w:val="bullet"/>
      <w:lvlText w:val="o"/>
      <w:lvlJc w:val="left"/>
      <w:pPr>
        <w:ind w:left="2673" w:hanging="360"/>
      </w:pPr>
      <w:rPr>
        <w:rFonts w:ascii="Courier New" w:hAnsi="Courier New" w:cs="Courier New" w:hint="default"/>
      </w:rPr>
    </w:lvl>
    <w:lvl w:ilvl="5" w:tplc="040C0005">
      <w:start w:val="1"/>
      <w:numFmt w:val="bullet"/>
      <w:lvlText w:val=""/>
      <w:lvlJc w:val="left"/>
      <w:pPr>
        <w:ind w:left="3393" w:hanging="360"/>
      </w:pPr>
      <w:rPr>
        <w:rFonts w:ascii="Wingdings" w:hAnsi="Wingdings" w:hint="default"/>
      </w:rPr>
    </w:lvl>
    <w:lvl w:ilvl="6" w:tplc="040C0001">
      <w:start w:val="1"/>
      <w:numFmt w:val="bullet"/>
      <w:lvlText w:val=""/>
      <w:lvlJc w:val="left"/>
      <w:pPr>
        <w:ind w:left="4113" w:hanging="360"/>
      </w:pPr>
      <w:rPr>
        <w:rFonts w:ascii="Symbol" w:hAnsi="Symbol" w:hint="default"/>
      </w:rPr>
    </w:lvl>
    <w:lvl w:ilvl="7" w:tplc="040C0003">
      <w:start w:val="1"/>
      <w:numFmt w:val="bullet"/>
      <w:lvlText w:val="o"/>
      <w:lvlJc w:val="left"/>
      <w:pPr>
        <w:ind w:left="4833" w:hanging="360"/>
      </w:pPr>
      <w:rPr>
        <w:rFonts w:ascii="Courier New" w:hAnsi="Courier New" w:cs="Courier New" w:hint="default"/>
      </w:rPr>
    </w:lvl>
    <w:lvl w:ilvl="8" w:tplc="040C0005">
      <w:start w:val="1"/>
      <w:numFmt w:val="bullet"/>
      <w:lvlText w:val=""/>
      <w:lvlJc w:val="left"/>
      <w:pPr>
        <w:ind w:left="5553" w:hanging="360"/>
      </w:pPr>
      <w:rPr>
        <w:rFonts w:ascii="Wingdings" w:hAnsi="Wingdings" w:hint="default"/>
      </w:rPr>
    </w:lvl>
  </w:abstractNum>
  <w:abstractNum w:abstractNumId="7">
    <w:nsid w:val="60EB6937"/>
    <w:multiLevelType w:val="hybridMultilevel"/>
    <w:tmpl w:val="77847660"/>
    <w:lvl w:ilvl="0" w:tplc="4808EC5E">
      <w:start w:val="1"/>
      <w:numFmt w:val="bullet"/>
      <w:lvlText w:val="-"/>
      <w:lvlJc w:val="left"/>
      <w:pPr>
        <w:ind w:left="11" w:hanging="360"/>
      </w:pPr>
      <w:rPr>
        <w:rFonts w:ascii="Arial" w:eastAsia="Calibri" w:hAnsi="Arial" w:cs="Aria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start w:val="1"/>
      <w:numFmt w:val="bullet"/>
      <w:lvlText w:val=""/>
      <w:lvlJc w:val="left"/>
      <w:pPr>
        <w:ind w:left="2171" w:hanging="360"/>
      </w:pPr>
      <w:rPr>
        <w:rFonts w:ascii="Symbol" w:hAnsi="Symbol" w:hint="default"/>
      </w:rPr>
    </w:lvl>
    <w:lvl w:ilvl="4" w:tplc="040C0003">
      <w:start w:val="1"/>
      <w:numFmt w:val="bullet"/>
      <w:lvlText w:val="o"/>
      <w:lvlJc w:val="left"/>
      <w:pPr>
        <w:ind w:left="2891" w:hanging="360"/>
      </w:pPr>
      <w:rPr>
        <w:rFonts w:ascii="Courier New" w:hAnsi="Courier New" w:cs="Courier New" w:hint="default"/>
      </w:rPr>
    </w:lvl>
    <w:lvl w:ilvl="5" w:tplc="040C0005">
      <w:start w:val="1"/>
      <w:numFmt w:val="bullet"/>
      <w:lvlText w:val=""/>
      <w:lvlJc w:val="left"/>
      <w:pPr>
        <w:ind w:left="3611" w:hanging="360"/>
      </w:pPr>
      <w:rPr>
        <w:rFonts w:ascii="Wingdings" w:hAnsi="Wingdings" w:hint="default"/>
      </w:rPr>
    </w:lvl>
    <w:lvl w:ilvl="6" w:tplc="040C0001">
      <w:start w:val="1"/>
      <w:numFmt w:val="bullet"/>
      <w:lvlText w:val=""/>
      <w:lvlJc w:val="left"/>
      <w:pPr>
        <w:ind w:left="4331" w:hanging="360"/>
      </w:pPr>
      <w:rPr>
        <w:rFonts w:ascii="Symbol" w:hAnsi="Symbol" w:hint="default"/>
      </w:rPr>
    </w:lvl>
    <w:lvl w:ilvl="7" w:tplc="040C0003">
      <w:start w:val="1"/>
      <w:numFmt w:val="bullet"/>
      <w:lvlText w:val="o"/>
      <w:lvlJc w:val="left"/>
      <w:pPr>
        <w:ind w:left="5051" w:hanging="360"/>
      </w:pPr>
      <w:rPr>
        <w:rFonts w:ascii="Courier New" w:hAnsi="Courier New" w:cs="Courier New" w:hint="default"/>
      </w:rPr>
    </w:lvl>
    <w:lvl w:ilvl="8" w:tplc="040C0005">
      <w:start w:val="1"/>
      <w:numFmt w:val="bullet"/>
      <w:lvlText w:val=""/>
      <w:lvlJc w:val="left"/>
      <w:pPr>
        <w:ind w:left="5771" w:hanging="360"/>
      </w:pPr>
      <w:rPr>
        <w:rFonts w:ascii="Wingdings" w:hAnsi="Wingdings" w:hint="default"/>
      </w:rPr>
    </w:lvl>
  </w:abstractNum>
  <w:abstractNum w:abstractNumId="8">
    <w:nsid w:val="68124103"/>
    <w:multiLevelType w:val="hybridMultilevel"/>
    <w:tmpl w:val="24EA98DC"/>
    <w:lvl w:ilvl="0" w:tplc="040C000B">
      <w:start w:val="1"/>
      <w:numFmt w:val="bullet"/>
      <w:lvlText w:val=""/>
      <w:lvlJc w:val="left"/>
      <w:pPr>
        <w:ind w:left="153" w:hanging="360"/>
      </w:pPr>
      <w:rPr>
        <w:rFonts w:ascii="Wingdings" w:hAnsi="Wingdings" w:hint="default"/>
      </w:rPr>
    </w:lvl>
    <w:lvl w:ilvl="1" w:tplc="040C0003">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1593" w:hanging="360"/>
      </w:pPr>
      <w:rPr>
        <w:rFonts w:ascii="Wingdings" w:hAnsi="Wingdings" w:hint="default"/>
      </w:rPr>
    </w:lvl>
    <w:lvl w:ilvl="3" w:tplc="040C0001">
      <w:start w:val="1"/>
      <w:numFmt w:val="bullet"/>
      <w:lvlText w:val=""/>
      <w:lvlJc w:val="left"/>
      <w:pPr>
        <w:ind w:left="2313" w:hanging="360"/>
      </w:pPr>
      <w:rPr>
        <w:rFonts w:ascii="Symbol" w:hAnsi="Symbol" w:hint="default"/>
      </w:rPr>
    </w:lvl>
    <w:lvl w:ilvl="4" w:tplc="040C0003">
      <w:start w:val="1"/>
      <w:numFmt w:val="bullet"/>
      <w:lvlText w:val="o"/>
      <w:lvlJc w:val="left"/>
      <w:pPr>
        <w:ind w:left="3033" w:hanging="360"/>
      </w:pPr>
      <w:rPr>
        <w:rFonts w:ascii="Courier New" w:hAnsi="Courier New" w:cs="Courier New" w:hint="default"/>
      </w:rPr>
    </w:lvl>
    <w:lvl w:ilvl="5" w:tplc="040C0005">
      <w:start w:val="1"/>
      <w:numFmt w:val="bullet"/>
      <w:lvlText w:val=""/>
      <w:lvlJc w:val="left"/>
      <w:pPr>
        <w:ind w:left="3753" w:hanging="360"/>
      </w:pPr>
      <w:rPr>
        <w:rFonts w:ascii="Wingdings" w:hAnsi="Wingdings" w:hint="default"/>
      </w:rPr>
    </w:lvl>
    <w:lvl w:ilvl="6" w:tplc="040C0001">
      <w:start w:val="1"/>
      <w:numFmt w:val="bullet"/>
      <w:lvlText w:val=""/>
      <w:lvlJc w:val="left"/>
      <w:pPr>
        <w:ind w:left="4473" w:hanging="360"/>
      </w:pPr>
      <w:rPr>
        <w:rFonts w:ascii="Symbol" w:hAnsi="Symbol" w:hint="default"/>
      </w:rPr>
    </w:lvl>
    <w:lvl w:ilvl="7" w:tplc="040C0003">
      <w:start w:val="1"/>
      <w:numFmt w:val="bullet"/>
      <w:lvlText w:val="o"/>
      <w:lvlJc w:val="left"/>
      <w:pPr>
        <w:ind w:left="5193" w:hanging="360"/>
      </w:pPr>
      <w:rPr>
        <w:rFonts w:ascii="Courier New" w:hAnsi="Courier New" w:cs="Courier New" w:hint="default"/>
      </w:rPr>
    </w:lvl>
    <w:lvl w:ilvl="8" w:tplc="040C0005">
      <w:start w:val="1"/>
      <w:numFmt w:val="bullet"/>
      <w:lvlText w:val=""/>
      <w:lvlJc w:val="left"/>
      <w:pPr>
        <w:ind w:left="5913" w:hanging="360"/>
      </w:pPr>
      <w:rPr>
        <w:rFonts w:ascii="Wingdings" w:hAnsi="Wingdings" w:hint="default"/>
      </w:rPr>
    </w:lvl>
  </w:abstractNum>
  <w:abstractNum w:abstractNumId="9">
    <w:nsid w:val="74407F58"/>
    <w:multiLevelType w:val="hybridMultilevel"/>
    <w:tmpl w:val="A6326A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1"/>
  </w:num>
  <w:num w:numId="7">
    <w:abstractNumId w:val="4"/>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D07"/>
    <w:rsid w:val="00044B5C"/>
    <w:rsid w:val="003E4F13"/>
    <w:rsid w:val="003F0F07"/>
    <w:rsid w:val="00486DE5"/>
    <w:rsid w:val="00636D07"/>
    <w:rsid w:val="00680CB7"/>
    <w:rsid w:val="008C73EC"/>
    <w:rsid w:val="00A56DB3"/>
    <w:rsid w:val="00E432E2"/>
    <w:rsid w:val="00E817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07"/>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636D07"/>
    <w:rPr>
      <w:color w:val="0000FF"/>
      <w:u w:val="single"/>
    </w:rPr>
  </w:style>
  <w:style w:type="paragraph" w:styleId="Paragraphedeliste">
    <w:name w:val="List Paragraph"/>
    <w:basedOn w:val="Normal"/>
    <w:uiPriority w:val="34"/>
    <w:qFormat/>
    <w:rsid w:val="00636D07"/>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D07"/>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636D07"/>
    <w:rPr>
      <w:color w:val="0000FF"/>
      <w:u w:val="single"/>
    </w:rPr>
  </w:style>
  <w:style w:type="paragraph" w:styleId="Paragraphedeliste">
    <w:name w:val="List Paragraph"/>
    <w:basedOn w:val="Normal"/>
    <w:uiPriority w:val="34"/>
    <w:qFormat/>
    <w:rsid w:val="00636D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654130">
      <w:bodyDiv w:val="1"/>
      <w:marLeft w:val="0"/>
      <w:marRight w:val="0"/>
      <w:marTop w:val="0"/>
      <w:marBottom w:val="0"/>
      <w:divBdr>
        <w:top w:val="none" w:sz="0" w:space="0" w:color="auto"/>
        <w:left w:val="none" w:sz="0" w:space="0" w:color="auto"/>
        <w:bottom w:val="none" w:sz="0" w:space="0" w:color="auto"/>
        <w:right w:val="none" w:sz="0" w:space="0" w:color="auto"/>
      </w:divBdr>
    </w:div>
    <w:div w:id="1819573232">
      <w:bodyDiv w:val="1"/>
      <w:marLeft w:val="0"/>
      <w:marRight w:val="0"/>
      <w:marTop w:val="0"/>
      <w:marBottom w:val="0"/>
      <w:divBdr>
        <w:top w:val="none" w:sz="0" w:space="0" w:color="auto"/>
        <w:left w:val="none" w:sz="0" w:space="0" w:color="auto"/>
        <w:bottom w:val="none" w:sz="0" w:space="0" w:color="auto"/>
        <w:right w:val="none" w:sz="0" w:space="0" w:color="auto"/>
      </w:divBdr>
    </w:div>
    <w:div w:id="208437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proofpoint.com/v2/url?u=http-3A__www.caf.fr_presse-2Dinstitutionnel_presse_communiques-2Dde-2Dpresse-2D2020&amp;d=DwMFAw&amp;c=BMMjOd5rMwijTOshDELeaSyLbdw3FGdGqNcuGNpHb2g&amp;r=Cl4xc2CroWTNoBFALyF2yFAvMat2quiWnbT5aRB2D-8l9UH0Flkyo6dSEPxl9Obm&amp;m=Wg2ZpZ9XjzD8tleL895U-JMrZJzHhE5uEs784uOAODI&amp;s=sSgxRyA1Uuv7S3F-iNTcSq_8hLDdnPo619mKrh2JABE&amp;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1105</Words>
  <Characters>6083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LAMARQUE, Mathias (DJEPVA/DJEPVA B/DJEPVA B3)</dc:creator>
  <cp:lastModifiedBy>LAMARQUE, Mathias (DJEPVA/DJEPVA B/DJEPVA B3)</cp:lastModifiedBy>
  <cp:revision>5</cp:revision>
  <cp:lastPrinted>2020-04-08T09:14:00Z</cp:lastPrinted>
  <dcterms:created xsi:type="dcterms:W3CDTF">2020-04-08T08:19:00Z</dcterms:created>
  <dcterms:modified xsi:type="dcterms:W3CDTF">2020-04-08T11:50:00Z</dcterms:modified>
</cp:coreProperties>
</file>